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Pueblo Pibil / Desde Tixkokob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Inventario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Cucharas 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Cucharones 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Cuchillos 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Freidora de aire 2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Parrilla/Plancha eléctrica 1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Tablas 2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Charolas 3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Tenazas 3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Lata de cochinita 1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Capacillos 3000 2oz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Canoas de carton 3000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Insertos 4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Tijeras 1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Servilletas de tela 8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Cilindro de metal 2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Multicontacto 2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Gel Antibacterial 2lts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Guantes 1 caja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Cubrebocas 1 caja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Cofias 20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Licuadora de inmersión 1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Hilo de Henequén 1 rollo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Cintilla negra 1 rollo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Perforadora 1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Etiquetas de marca 6000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Folletos 1500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