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Molto Sapori – Carrito Pizzero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Listado detallado de equipo mayor y menor para operación del stand</w:t>
        <w:br w:type="textWrapping"/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Equipo mayor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- Carrito pizzero móvil (estructura metálica con ruedas)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Horno para pizza (gas, uso profesional)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Tanque de gas con regulador y manguera de seguridad (no llevamos en caso de ser proveído)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- 2 mesas de trabajo de acero inoxidable (1 desplegable del carrito y 1 adicional)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- 1 mesa de madera para comensales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Hielera industrial para insumos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Equipo menor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- 2 palas para pizza de aluminio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Cortador de pizza profesional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Cuchillos de chef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Tablas para preparación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Charolas para insumos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Bowls de acero inoxidable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Espátulas y pinzas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Cepillo para limpieza del horno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Termómetro de horno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Guantes térmicos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Mandiles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Servilletas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Platos desechables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Cajas para pizza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Bolsas de basura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Extensión eléctrica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Multicontacto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Gel antibacterial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Toallas sanitizantes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 Trapos de cocina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 Cinta y marcadores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/R04FNnN/4y9TRTj1zWDQ7m3dA==">CgMxLjA4AHIhMXEySEJDVkR2T19UUHYtV2FVQ3l3MzNwN3Z4Tzd2UmY0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